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RM618</w:t>
      </w: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color w:val="000000"/>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ab/>
      </w: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 (Staff Transfer)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[Call-Off Schedule 12 (Clustering) </w:t>
        <w:tab/>
        <w:t xml:space="preserve">        </w:t>
        <w:tab/>
        <w:tab/>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w:t>
      </w:r>
      <w:r w:rsidDel="00000000" w:rsidR="00000000" w:rsidRPr="00000000">
        <w:rPr>
          <w:rFonts w:ascii="Arial" w:cs="Arial" w:eastAsia="Arial" w:hAnsi="Arial"/>
          <w:sz w:val="24"/>
          <w:szCs w:val="24"/>
          <w:highlight w:val="yellow"/>
          <w:rtl w:val="0"/>
        </w:rPr>
        <w:t xml:space="preserve">3</w:t>
      </w:r>
      <w:r w:rsidDel="00000000" w:rsidR="00000000" w:rsidRPr="00000000">
        <w:rPr>
          <w:rFonts w:ascii="Arial" w:cs="Arial" w:eastAsia="Arial" w:hAnsi="Arial"/>
          <w:color w:val="000000"/>
          <w:sz w:val="24"/>
          <w:szCs w:val="24"/>
          <w:highlight w:val="yellow"/>
          <w:rtl w:val="0"/>
        </w:rPr>
        <w:t xml:space="preserve"> (HMRC Terms)                                            ]   </w:t>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RM618</w:t>
      </w: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gjdgxs" w:id="1"/>
      <w:bookmarkEnd w:id="1"/>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pos="2257"/>
        </w:tabs>
        <w:spacing w:after="0" w:line="259" w:lineRule="auto"/>
        <w:rPr>
          <w:rFonts w:ascii="Arial" w:cs="Arial" w:eastAsia="Arial" w:hAnsi="Arial"/>
          <w:i w:val="1"/>
          <w:color w:val="222222"/>
          <w:highlight w:val="white"/>
        </w:rPr>
      </w:pPr>
      <w:r w:rsidDel="00000000" w:rsidR="00000000" w:rsidRPr="00000000">
        <w:rPr>
          <w:rFonts w:ascii="Arial" w:cs="Arial" w:eastAsia="Arial" w:hAnsi="Arial"/>
          <w:i w:val="1"/>
          <w:color w:val="222222"/>
          <w:highlight w:val="white"/>
          <w:rtl w:val="0"/>
        </w:rPr>
        <w:t xml:space="preserve">Special term 1 - The Buyer is only liable to reimburse the Supplier for any expense or any disbursement which is </w:t>
      </w:r>
    </w:p>
    <w:p w:rsidR="00000000" w:rsidDel="00000000" w:rsidP="00000000" w:rsidRDefault="00000000" w:rsidRPr="00000000" w14:paraId="00000055">
      <w:pPr>
        <w:tabs>
          <w:tab w:val="left" w:pos="2257"/>
        </w:tabs>
        <w:spacing w:after="0" w:line="259" w:lineRule="auto"/>
        <w:rPr>
          <w:rFonts w:ascii="Arial" w:cs="Arial" w:eastAsia="Arial" w:hAnsi="Arial"/>
          <w:i w:val="1"/>
          <w:color w:val="222222"/>
          <w:highlight w:val="white"/>
        </w:rPr>
      </w:pPr>
      <w:r w:rsidDel="00000000" w:rsidR="00000000" w:rsidRPr="00000000">
        <w:rPr>
          <w:rFonts w:ascii="Arial" w:cs="Arial" w:eastAsia="Arial" w:hAnsi="Arial"/>
          <w:i w:val="1"/>
          <w:color w:val="222222"/>
          <w:highlight w:val="white"/>
          <w:rtl w:val="0"/>
        </w:rPr>
        <w:tab/>
        <w:t xml:space="preserve">(i) specified in this Contract or </w:t>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i w:val="1"/>
          <w:color w:val="222222"/>
          <w:highlight w:val="white"/>
          <w:rtl w:val="0"/>
        </w:rPr>
        <w:tab/>
        <w:t xml:space="preserve">(ii) which the Buyer has Approved prior to the Supplier incurring that </w:t>
        <w:tab/>
        <w:t xml:space="preserve">expense or that disbursement. The Supplier may not invoice the </w:t>
        <w:tab/>
        <w:tab/>
        <w:t xml:space="preserve">Buyer for any other expenses or any other disbursements</w:t>
      </w:r>
      <w:r w:rsidDel="00000000" w:rsidR="00000000" w:rsidRPr="00000000">
        <w:rPr>
          <w:rFonts w:ascii="Arial" w:cs="Arial" w:eastAsia="Arial" w:hAnsi="Arial"/>
          <w:sz w:val="24"/>
          <w:szCs w:val="24"/>
          <w:rtl w:val="0"/>
        </w:rPr>
        <w:tab/>
        <w:tab/>
        <w:tab/>
        <w:tab/>
        <w:tab/>
        <w:tab/>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[Indexation] </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1">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trHeight w:val="635" w:hRule="atLeast"/>
        </w:trPr>
        <w:tc>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rPr>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7">
      <w:pPr>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8">
      <w:pPr>
        <w:tabs>
          <w:tab w:val="left" w:pos="2257"/>
        </w:tabs>
        <w:spacing w:after="0" w:line="259" w:lineRule="auto"/>
        <w:rPr/>
      </w:pPr>
      <w:r w:rsidDel="00000000" w:rsidR="00000000" w:rsidRPr="00000000">
        <w:rPr>
          <w:rtl w:val="0"/>
        </w:rPr>
      </w:r>
    </w:p>
    <w:p w:rsidR="00000000" w:rsidDel="00000000" w:rsidP="00000000" w:rsidRDefault="00000000" w:rsidRPr="00000000" w14:paraId="000000D9">
      <w:pPr>
        <w:tabs>
          <w:tab w:val="left" w:pos="2257"/>
        </w:tabs>
        <w:spacing w:after="0" w:line="259" w:lineRule="auto"/>
        <w:rPr/>
      </w:pPr>
      <w:r w:rsidDel="00000000" w:rsidR="00000000" w:rsidRPr="00000000">
        <w:rPr>
          <w:rtl w:val="0"/>
        </w:rPr>
      </w:r>
    </w:p>
    <w:p w:rsidR="00000000" w:rsidDel="00000000" w:rsidP="00000000" w:rsidRDefault="00000000" w:rsidRPr="00000000" w14:paraId="000000DA">
      <w:pPr>
        <w:tabs>
          <w:tab w:val="left" w:pos="2257"/>
        </w:tabs>
        <w:spacing w:after="0" w:line="259" w:lineRule="auto"/>
        <w:rPr/>
      </w:pPr>
      <w:r w:rsidDel="00000000" w:rsidR="00000000" w:rsidRPr="00000000">
        <w:rPr>
          <w:rtl w:val="0"/>
        </w:rPr>
      </w:r>
    </w:p>
    <w:p w:rsidR="00000000" w:rsidDel="00000000" w:rsidP="00000000" w:rsidRDefault="00000000" w:rsidRPr="00000000" w14:paraId="000000DB">
      <w:pPr>
        <w:tabs>
          <w:tab w:val="left" w:pos="2257"/>
        </w:tabs>
        <w:spacing w:after="0" w:line="259" w:lineRule="auto"/>
        <w:rPr/>
      </w:pPr>
      <w:r w:rsidDel="00000000" w:rsidR="00000000" w:rsidRPr="00000000">
        <w:rPr>
          <w:rtl w:val="0"/>
        </w:rPr>
      </w:r>
    </w:p>
    <w:p w:rsidR="00000000" w:rsidDel="00000000" w:rsidP="00000000" w:rsidRDefault="00000000" w:rsidRPr="00000000" w14:paraId="000000DC">
      <w:pPr>
        <w:tabs>
          <w:tab w:val="left" w:pos="2257"/>
        </w:tabs>
        <w:spacing w:after="0" w:line="259" w:lineRule="auto"/>
        <w:rPr/>
      </w:pPr>
      <w:r w:rsidDel="00000000" w:rsidR="00000000" w:rsidRPr="00000000">
        <w:rPr>
          <w:rtl w:val="0"/>
        </w:rPr>
      </w:r>
    </w:p>
    <w:p w:rsidR="00000000" w:rsidDel="00000000" w:rsidP="00000000" w:rsidRDefault="00000000" w:rsidRPr="00000000" w14:paraId="000000DD">
      <w:pPr>
        <w:tabs>
          <w:tab w:val="left" w:pos="2257"/>
        </w:tabs>
        <w:spacing w:after="0" w:line="259" w:lineRule="auto"/>
        <w:rPr/>
      </w:pPr>
      <w:r w:rsidDel="00000000" w:rsidR="00000000" w:rsidRPr="00000000">
        <w:rPr>
          <w:rtl w:val="0"/>
        </w:rPr>
      </w:r>
    </w:p>
    <w:p w:rsidR="00000000" w:rsidDel="00000000" w:rsidP="00000000" w:rsidRDefault="00000000" w:rsidRPr="00000000" w14:paraId="000000DE">
      <w:pPr>
        <w:tabs>
          <w:tab w:val="left" w:pos="2257"/>
        </w:tabs>
        <w:spacing w:after="0" w:line="259" w:lineRule="auto"/>
        <w:rPr/>
      </w:pPr>
      <w:r w:rsidDel="00000000" w:rsidR="00000000" w:rsidRPr="00000000">
        <w:rPr>
          <w:rtl w:val="0"/>
        </w:rPr>
      </w:r>
    </w:p>
    <w:p w:rsidR="00000000" w:rsidDel="00000000" w:rsidP="00000000" w:rsidRDefault="00000000" w:rsidRPr="00000000" w14:paraId="000000DF">
      <w:pPr>
        <w:tabs>
          <w:tab w:val="left" w:pos="2257"/>
        </w:tabs>
        <w:spacing w:after="0" w:line="259" w:lineRule="auto"/>
        <w:rPr/>
      </w:pPr>
      <w:r w:rsidDel="00000000" w:rsidR="00000000" w:rsidRPr="00000000">
        <w:rPr>
          <w:rtl w:val="0"/>
        </w:rPr>
      </w:r>
    </w:p>
    <w:p w:rsidR="00000000" w:rsidDel="00000000" w:rsidP="00000000" w:rsidRDefault="00000000" w:rsidRPr="00000000" w14:paraId="000000E0">
      <w:pPr>
        <w:tabs>
          <w:tab w:val="left" w:pos="2257"/>
        </w:tabs>
        <w:spacing w:after="0" w:line="259" w:lineRule="auto"/>
        <w:rPr/>
      </w:pPr>
      <w:r w:rsidDel="00000000" w:rsidR="00000000" w:rsidRPr="00000000">
        <w:rPr>
          <w:rtl w:val="0"/>
        </w:rPr>
      </w:r>
    </w:p>
    <w:p w:rsidR="00000000" w:rsidDel="00000000" w:rsidP="00000000" w:rsidRDefault="00000000" w:rsidRPr="00000000" w14:paraId="000000E1">
      <w:pPr>
        <w:tabs>
          <w:tab w:val="left" w:pos="2257"/>
        </w:tabs>
        <w:spacing w:after="0" w:line="259" w:lineRule="auto"/>
        <w:rPr/>
      </w:pPr>
      <w:r w:rsidDel="00000000" w:rsidR="00000000" w:rsidRPr="00000000">
        <w:rPr>
          <w:rtl w:val="0"/>
        </w:rPr>
      </w:r>
    </w:p>
    <w:p w:rsidR="00000000" w:rsidDel="00000000" w:rsidP="00000000" w:rsidRDefault="00000000" w:rsidRPr="00000000" w14:paraId="000000E2">
      <w:pPr>
        <w:tabs>
          <w:tab w:val="left" w:pos="2257"/>
        </w:tabs>
        <w:spacing w:after="0" w:line="259" w:lineRule="auto"/>
        <w:rPr/>
      </w:pPr>
      <w:r w:rsidDel="00000000" w:rsidR="00000000" w:rsidRPr="00000000">
        <w:rPr>
          <w:rtl w:val="0"/>
        </w:rPr>
      </w:r>
    </w:p>
    <w:p w:rsidR="00000000" w:rsidDel="00000000" w:rsidP="00000000" w:rsidRDefault="00000000" w:rsidRPr="00000000" w14:paraId="000000E3">
      <w:pPr>
        <w:tabs>
          <w:tab w:val="left" w:pos="2257"/>
        </w:tabs>
        <w:spacing w:after="0" w:line="259"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RG37IbSt2w5sXk2bLEK0lbmp2Q==">AMUW2mXBinrFb/BfX0JexYiWsfxjBA8i4E3PVUhxJFKx9mbvgsyWgZ78W2bJZlNBBQQHUF7vyWaf7nfnqeMD11Ew5wr+85Bv/O9DCGwJtACyPbX99FPfsa1ajcILRIju4UO+nU3mPluL6jp0oO2l0brKnjnMHJlS7A==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